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Default="000B456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TV1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1BB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B456C">
        <w:rPr>
          <w:rFonts w:ascii="Arial" w:hAnsi="Arial" w:cs="Arial"/>
          <w:sz w:val="20"/>
          <w:szCs w:val="20"/>
        </w:rPr>
        <w:t>15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B456C" w:rsidRPr="000B456C">
        <w:rPr>
          <w:rFonts w:ascii="Arial" w:hAnsi="Arial" w:cs="Arial"/>
          <w:sz w:val="20"/>
          <w:szCs w:val="20"/>
        </w:rPr>
        <w:t>Power Engineering Consulting Joint Stock Company 1</w:t>
      </w:r>
      <w:r w:rsidR="000B456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C1BB8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56C">
        <w:rPr>
          <w:rFonts w:ascii="Arial" w:hAnsi="Arial" w:cs="Arial"/>
          <w:sz w:val="20"/>
          <w:szCs w:val="20"/>
        </w:rPr>
        <w:t>Artic</w:t>
      </w:r>
      <w:r>
        <w:rPr>
          <w:rFonts w:ascii="Arial" w:hAnsi="Arial" w:cs="Arial"/>
          <w:sz w:val="20"/>
          <w:szCs w:val="20"/>
        </w:rPr>
        <w:t>le 1:</w:t>
      </w:r>
      <w:r w:rsidRPr="000B456C">
        <w:rPr>
          <w:rFonts w:ascii="Arial" w:hAnsi="Arial" w:cs="Arial"/>
          <w:sz w:val="20"/>
          <w:szCs w:val="20"/>
        </w:rPr>
        <w:t xml:space="preserve"> Approving the proposal of the Bank for Investment and Development of Vietnam, </w:t>
      </w:r>
      <w:proofErr w:type="spellStart"/>
      <w:r w:rsidRPr="000B456C">
        <w:rPr>
          <w:rFonts w:ascii="Arial" w:hAnsi="Arial" w:cs="Arial"/>
          <w:sz w:val="20"/>
          <w:szCs w:val="20"/>
        </w:rPr>
        <w:t>Hai</w:t>
      </w:r>
      <w:proofErr w:type="spellEnd"/>
      <w:r w:rsidRPr="000B456C">
        <w:rPr>
          <w:rFonts w:ascii="Arial" w:hAnsi="Arial" w:cs="Arial"/>
          <w:sz w:val="20"/>
          <w:szCs w:val="20"/>
        </w:rPr>
        <w:t xml:space="preserve"> Ba </w:t>
      </w:r>
      <w:proofErr w:type="spellStart"/>
      <w:r w:rsidRPr="000B456C">
        <w:rPr>
          <w:rFonts w:ascii="Arial" w:hAnsi="Arial" w:cs="Arial"/>
          <w:sz w:val="20"/>
          <w:szCs w:val="20"/>
        </w:rPr>
        <w:t>Trung</w:t>
      </w:r>
      <w:proofErr w:type="spellEnd"/>
      <w:r w:rsidRPr="000B456C">
        <w:rPr>
          <w:rFonts w:ascii="Arial" w:hAnsi="Arial" w:cs="Arial"/>
          <w:sz w:val="20"/>
          <w:szCs w:val="20"/>
        </w:rPr>
        <w:t xml:space="preserve"> Branch (BIDV) and </w:t>
      </w:r>
      <w:r>
        <w:rPr>
          <w:rFonts w:ascii="Arial" w:hAnsi="Arial" w:cs="Arial"/>
          <w:sz w:val="20"/>
          <w:szCs w:val="20"/>
        </w:rPr>
        <w:t>EVN</w:t>
      </w:r>
      <w:r w:rsidRPr="000B456C">
        <w:rPr>
          <w:rFonts w:ascii="Arial" w:hAnsi="Arial" w:cs="Arial"/>
          <w:sz w:val="20"/>
          <w:szCs w:val="20"/>
        </w:rPr>
        <w:t xml:space="preserve"> </w:t>
      </w:r>
      <w:r w:rsidRPr="000B456C">
        <w:rPr>
          <w:rFonts w:ascii="Arial" w:hAnsi="Arial" w:cs="Arial"/>
          <w:sz w:val="20"/>
          <w:szCs w:val="20"/>
        </w:rPr>
        <w:t>Finance</w:t>
      </w:r>
      <w:r w:rsidRPr="000B456C">
        <w:rPr>
          <w:rFonts w:ascii="Arial" w:hAnsi="Arial" w:cs="Arial"/>
          <w:sz w:val="20"/>
          <w:szCs w:val="20"/>
        </w:rPr>
        <w:t xml:space="preserve"> Joint Stock Company (EVNFC) to consider and approve the opening of s</w:t>
      </w:r>
      <w:r>
        <w:rPr>
          <w:rFonts w:ascii="Arial" w:hAnsi="Arial" w:cs="Arial"/>
          <w:sz w:val="20"/>
          <w:szCs w:val="20"/>
        </w:rPr>
        <w:t>hort-term credit limit in 2020</w:t>
      </w:r>
      <w:r w:rsidRPr="000B456C">
        <w:rPr>
          <w:rFonts w:ascii="Arial" w:hAnsi="Arial" w:cs="Arial"/>
          <w:sz w:val="20"/>
          <w:szCs w:val="20"/>
        </w:rPr>
        <w:t xml:space="preserve"> with the following specific contents: 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56C">
        <w:rPr>
          <w:rFonts w:ascii="Arial" w:hAnsi="Arial" w:cs="Arial"/>
          <w:sz w:val="20"/>
          <w:szCs w:val="20"/>
        </w:rPr>
        <w:t>- Loa</w:t>
      </w:r>
      <w:r>
        <w:rPr>
          <w:rFonts w:ascii="Arial" w:hAnsi="Arial" w:cs="Arial"/>
          <w:sz w:val="20"/>
          <w:szCs w:val="20"/>
        </w:rPr>
        <w:t>n purpose: Paying salary to employees and</w:t>
      </w:r>
      <w:r w:rsidRPr="000B456C">
        <w:rPr>
          <w:rFonts w:ascii="Arial" w:hAnsi="Arial" w:cs="Arial"/>
          <w:sz w:val="20"/>
          <w:szCs w:val="20"/>
        </w:rPr>
        <w:t xml:space="preserve">/ or paying production and business costs of the Company;  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56C">
        <w:rPr>
          <w:rFonts w:ascii="Arial" w:hAnsi="Arial" w:cs="Arial"/>
          <w:sz w:val="20"/>
          <w:szCs w:val="20"/>
        </w:rPr>
        <w:t xml:space="preserve">- Limit: The total limit is </w:t>
      </w:r>
      <w:r w:rsidRPr="000B456C">
        <w:rPr>
          <w:rFonts w:ascii="Arial" w:hAnsi="Arial" w:cs="Arial"/>
          <w:sz w:val="20"/>
          <w:szCs w:val="20"/>
        </w:rPr>
        <w:t>VND</w:t>
      </w:r>
      <w:r w:rsidRPr="000B456C">
        <w:rPr>
          <w:rFonts w:ascii="Arial" w:hAnsi="Arial" w:cs="Arial"/>
          <w:sz w:val="20"/>
          <w:szCs w:val="20"/>
        </w:rPr>
        <w:t xml:space="preserve"> 110</w:t>
      </w:r>
      <w:r>
        <w:rPr>
          <w:rFonts w:ascii="Arial" w:hAnsi="Arial" w:cs="Arial"/>
          <w:sz w:val="20"/>
          <w:szCs w:val="20"/>
        </w:rPr>
        <w:t>,</w:t>
      </w:r>
      <w:r w:rsidRPr="000B456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0B456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,000, in</w:t>
      </w:r>
      <w:r w:rsidRPr="000B456C">
        <w:rPr>
          <w:rFonts w:ascii="Arial" w:hAnsi="Arial" w:cs="Arial"/>
          <w:sz w:val="20"/>
          <w:szCs w:val="20"/>
        </w:rPr>
        <w:t xml:space="preserve"> which: 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56C">
        <w:rPr>
          <w:rFonts w:ascii="Arial" w:hAnsi="Arial" w:cs="Arial"/>
          <w:sz w:val="20"/>
          <w:szCs w:val="20"/>
        </w:rPr>
        <w:t xml:space="preserve">+ At BIDV: </w:t>
      </w:r>
      <w:r w:rsidRPr="000B456C">
        <w:rPr>
          <w:rFonts w:ascii="Arial" w:hAnsi="Arial" w:cs="Arial"/>
          <w:sz w:val="20"/>
          <w:szCs w:val="20"/>
        </w:rPr>
        <w:t xml:space="preserve">VND </w:t>
      </w:r>
      <w:r w:rsidRPr="000B456C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>,</w:t>
      </w:r>
      <w:r w:rsidRPr="000B456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0B456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0B456C">
        <w:rPr>
          <w:rFonts w:ascii="Arial" w:hAnsi="Arial" w:cs="Arial"/>
          <w:sz w:val="20"/>
          <w:szCs w:val="20"/>
        </w:rPr>
        <w:t xml:space="preserve">000 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0B456C">
        <w:rPr>
          <w:rFonts w:ascii="Arial" w:hAnsi="Arial" w:cs="Arial"/>
          <w:sz w:val="20"/>
          <w:szCs w:val="20"/>
        </w:rPr>
        <w:t xml:space="preserve">At EVNFC: </w:t>
      </w:r>
      <w:r w:rsidRPr="000B456C">
        <w:rPr>
          <w:rFonts w:ascii="Arial" w:hAnsi="Arial" w:cs="Arial"/>
          <w:sz w:val="20"/>
          <w:szCs w:val="20"/>
        </w:rPr>
        <w:t>VND</w:t>
      </w:r>
      <w:r w:rsidRPr="000B456C">
        <w:rPr>
          <w:rFonts w:ascii="Arial" w:hAnsi="Arial" w:cs="Arial"/>
          <w:sz w:val="20"/>
          <w:szCs w:val="20"/>
        </w:rPr>
        <w:t xml:space="preserve"> 30</w:t>
      </w:r>
      <w:r>
        <w:rPr>
          <w:rFonts w:ascii="Arial" w:hAnsi="Arial" w:cs="Arial"/>
          <w:sz w:val="20"/>
          <w:szCs w:val="20"/>
        </w:rPr>
        <w:t>,</w:t>
      </w:r>
      <w:r w:rsidRPr="000B456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0B456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0B456C">
        <w:rPr>
          <w:rFonts w:ascii="Arial" w:hAnsi="Arial" w:cs="Arial"/>
          <w:sz w:val="20"/>
          <w:szCs w:val="20"/>
        </w:rPr>
        <w:t xml:space="preserve">000 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0B456C">
        <w:rPr>
          <w:rFonts w:ascii="Arial" w:hAnsi="Arial" w:cs="Arial"/>
          <w:sz w:val="20"/>
          <w:szCs w:val="20"/>
        </w:rPr>
        <w:t>Authorize the General Director to negotiate with BIDV, EVNFC and sign credit contracts, documents related to the borrowing and guarantee activities of the</w:t>
      </w:r>
      <w:r>
        <w:rPr>
          <w:rFonts w:ascii="Arial" w:hAnsi="Arial" w:cs="Arial"/>
          <w:sz w:val="20"/>
          <w:szCs w:val="20"/>
        </w:rPr>
        <w:t xml:space="preserve"> Company as stated in Article 1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0B456C">
        <w:rPr>
          <w:rFonts w:ascii="Arial" w:hAnsi="Arial" w:cs="Arial"/>
          <w:sz w:val="20"/>
          <w:szCs w:val="20"/>
        </w:rPr>
        <w:t xml:space="preserve"> Approving the short-term loan contract of MTV2 with Joint Stock Commercial Bank for Foreign Tra</w:t>
      </w:r>
      <w:r>
        <w:rPr>
          <w:rFonts w:ascii="Arial" w:hAnsi="Arial" w:cs="Arial"/>
          <w:sz w:val="20"/>
          <w:szCs w:val="20"/>
        </w:rPr>
        <w:t xml:space="preserve">de of Vietnam -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 Lai Branch as follows: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B456C">
        <w:rPr>
          <w:rFonts w:ascii="Arial" w:hAnsi="Arial" w:cs="Arial"/>
          <w:sz w:val="20"/>
          <w:szCs w:val="20"/>
        </w:rPr>
        <w:t xml:space="preserve">Mortgaged assets: Land </w:t>
      </w:r>
      <w:r>
        <w:rPr>
          <w:rFonts w:ascii="Arial" w:hAnsi="Arial" w:cs="Arial"/>
          <w:sz w:val="20"/>
          <w:szCs w:val="20"/>
        </w:rPr>
        <w:t xml:space="preserve">lot No.24, map sheet No.97; 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56C">
        <w:rPr>
          <w:rFonts w:ascii="Arial" w:hAnsi="Arial" w:cs="Arial"/>
          <w:sz w:val="20"/>
          <w:szCs w:val="20"/>
        </w:rPr>
        <w:t xml:space="preserve">- Borrowing purpose: To serve production and business of MTV2;  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56C">
        <w:rPr>
          <w:rFonts w:ascii="Arial" w:hAnsi="Arial" w:cs="Arial"/>
          <w:sz w:val="20"/>
          <w:szCs w:val="20"/>
        </w:rPr>
        <w:t xml:space="preserve">- Maximum loan: </w:t>
      </w:r>
      <w:r w:rsidRPr="000B456C">
        <w:rPr>
          <w:rFonts w:ascii="Arial" w:hAnsi="Arial" w:cs="Arial"/>
          <w:sz w:val="20"/>
          <w:szCs w:val="20"/>
        </w:rPr>
        <w:t xml:space="preserve">VND </w:t>
      </w:r>
      <w:r w:rsidRPr="000B456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Pr="000B456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,000,000 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56C">
        <w:rPr>
          <w:rFonts w:ascii="Arial" w:hAnsi="Arial" w:cs="Arial"/>
          <w:sz w:val="20"/>
          <w:szCs w:val="20"/>
        </w:rPr>
        <w:t xml:space="preserve">- Loan term: </w:t>
      </w:r>
      <w:r>
        <w:rPr>
          <w:rFonts w:ascii="Arial" w:hAnsi="Arial" w:cs="Arial"/>
          <w:sz w:val="20"/>
          <w:szCs w:val="20"/>
        </w:rPr>
        <w:t>a m</w:t>
      </w:r>
      <w:r w:rsidRPr="000B456C">
        <w:rPr>
          <w:rFonts w:ascii="Arial" w:hAnsi="Arial" w:cs="Arial"/>
          <w:sz w:val="20"/>
          <w:szCs w:val="20"/>
        </w:rPr>
        <w:t xml:space="preserve">aximum </w:t>
      </w:r>
      <w:r>
        <w:rPr>
          <w:rFonts w:ascii="Arial" w:hAnsi="Arial" w:cs="Arial"/>
          <w:sz w:val="20"/>
          <w:szCs w:val="20"/>
        </w:rPr>
        <w:t xml:space="preserve">of </w:t>
      </w:r>
      <w:r w:rsidRPr="000B456C">
        <w:rPr>
          <w:rFonts w:ascii="Arial" w:hAnsi="Arial" w:cs="Arial"/>
          <w:sz w:val="20"/>
          <w:szCs w:val="20"/>
        </w:rPr>
        <w:t xml:space="preserve">12 months from the date of signing the contract;  </w:t>
      </w:r>
    </w:p>
    <w:p w:rsidR="000B456C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Interest rate: 8.5%</w:t>
      </w:r>
      <w:r w:rsidRPr="000B456C">
        <w:rPr>
          <w:rFonts w:ascii="Arial" w:hAnsi="Arial" w:cs="Arial"/>
          <w:sz w:val="20"/>
          <w:szCs w:val="20"/>
        </w:rPr>
        <w:t xml:space="preserve">/ year;  </w:t>
      </w:r>
    </w:p>
    <w:p w:rsidR="001910D1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56C">
        <w:rPr>
          <w:rFonts w:ascii="Arial" w:hAnsi="Arial" w:cs="Arial"/>
          <w:sz w:val="20"/>
          <w:szCs w:val="20"/>
        </w:rPr>
        <w:t>- Other contents of the contract: According to the</w:t>
      </w:r>
      <w:r w:rsidR="001910D1">
        <w:rPr>
          <w:rFonts w:ascii="Arial" w:hAnsi="Arial" w:cs="Arial"/>
          <w:sz w:val="20"/>
          <w:szCs w:val="20"/>
        </w:rPr>
        <w:t xml:space="preserve"> lender's regulations</w:t>
      </w:r>
    </w:p>
    <w:p w:rsidR="001910D1" w:rsidRDefault="000B4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56C">
        <w:rPr>
          <w:rFonts w:ascii="Arial" w:hAnsi="Arial" w:cs="Arial"/>
          <w:sz w:val="20"/>
          <w:szCs w:val="20"/>
        </w:rPr>
        <w:t>P</w:t>
      </w:r>
      <w:r w:rsidR="001910D1">
        <w:rPr>
          <w:rFonts w:ascii="Arial" w:hAnsi="Arial" w:cs="Arial"/>
          <w:sz w:val="20"/>
          <w:szCs w:val="20"/>
        </w:rPr>
        <w:t>resident and Director of MTV2 are</w:t>
      </w:r>
      <w:r w:rsidRPr="000B456C">
        <w:rPr>
          <w:rFonts w:ascii="Arial" w:hAnsi="Arial" w:cs="Arial"/>
          <w:sz w:val="20"/>
          <w:szCs w:val="20"/>
        </w:rPr>
        <w:t xml:space="preserve"> responsible for finalizing the above contract and reporting to the Board </w:t>
      </w:r>
      <w:r w:rsidR="001910D1">
        <w:rPr>
          <w:rFonts w:ascii="Arial" w:hAnsi="Arial" w:cs="Arial"/>
          <w:sz w:val="20"/>
          <w:szCs w:val="20"/>
        </w:rPr>
        <w:t>of Directors on the performance</w:t>
      </w:r>
    </w:p>
    <w:p w:rsidR="000B456C" w:rsidRDefault="001910D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General Director, </w:t>
      </w:r>
      <w:r w:rsidR="000B456C" w:rsidRPr="000B456C">
        <w:rPr>
          <w:rFonts w:ascii="Arial" w:hAnsi="Arial" w:cs="Arial"/>
          <w:sz w:val="20"/>
          <w:szCs w:val="20"/>
        </w:rPr>
        <w:t>President and CEO of MTV2, Acting Chief Accountant, P4 Manager and related units are responsible for the implementation of this Resolution</w:t>
      </w:r>
      <w:bookmarkStart w:id="0" w:name="_GoBack"/>
      <w:bookmarkEnd w:id="0"/>
    </w:p>
    <w:sectPr w:rsidR="000B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B456C"/>
    <w:rsid w:val="000D20D4"/>
    <w:rsid w:val="000E71F4"/>
    <w:rsid w:val="00132EC5"/>
    <w:rsid w:val="00146DCF"/>
    <w:rsid w:val="0016411D"/>
    <w:rsid w:val="00167E2F"/>
    <w:rsid w:val="001910D1"/>
    <w:rsid w:val="001F34A1"/>
    <w:rsid w:val="001F6744"/>
    <w:rsid w:val="002B42CC"/>
    <w:rsid w:val="002D481A"/>
    <w:rsid w:val="002D4939"/>
    <w:rsid w:val="002D53EE"/>
    <w:rsid w:val="002E465F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4E6D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11179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148</cp:revision>
  <dcterms:created xsi:type="dcterms:W3CDTF">2019-10-16T10:03:00Z</dcterms:created>
  <dcterms:modified xsi:type="dcterms:W3CDTF">2020-04-20T12:50:00Z</dcterms:modified>
</cp:coreProperties>
</file>